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45DA" w14:textId="77777777" w:rsidR="004A6A8B" w:rsidRPr="004A6A8B" w:rsidRDefault="004A6A8B" w:rsidP="004A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A8B">
        <w:rPr>
          <w:rFonts w:ascii="Times New Roman" w:hAnsi="Times New Roman" w:cs="Times New Roman"/>
          <w:b/>
          <w:bCs/>
          <w:sz w:val="24"/>
          <w:szCs w:val="24"/>
        </w:rPr>
        <w:t>Prilog 2.- Ciljevi SP ZPP</w:t>
      </w:r>
    </w:p>
    <w:p w14:paraId="78F565D4" w14:textId="77777777" w:rsidR="004A6A8B" w:rsidRDefault="004A6A8B" w:rsidP="004A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5F718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Opći ciljevi ZPP za razdoblje 2023. – 2027.:</w:t>
      </w:r>
    </w:p>
    <w:p w14:paraId="630540E3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(a) poticanje pametnog, konkurentnog, otpornog i diversificiranog sektora poljoprivrede</w:t>
      </w:r>
    </w:p>
    <w:p w14:paraId="5B973754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kojim se osigurava dugoročna sigurnost opskrbe hranom</w:t>
      </w:r>
    </w:p>
    <w:p w14:paraId="53327CD0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(b) podupiranje i jačanje zaštite okoliša, uključujući bioraznolikost, i djelovanja u području</w:t>
      </w:r>
    </w:p>
    <w:p w14:paraId="52EB1599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klime te doprinos postizanju ciljevima Unije u području okoliša i klime, uključujući</w:t>
      </w:r>
    </w:p>
    <w:p w14:paraId="1FA866DA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njezine obveze u okviru Pariškog sporazuma</w:t>
      </w:r>
    </w:p>
    <w:p w14:paraId="1A7E6BA0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(c) jačanje socioekonomske strukture ruralnih područja.</w:t>
      </w:r>
    </w:p>
    <w:p w14:paraId="7EF395F7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</w:p>
    <w:p w14:paraId="61CD1173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Specifični ciljevi ZPP za razdoblje 2023. – 2027.:</w:t>
      </w:r>
    </w:p>
    <w:p w14:paraId="13235833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1. potpora održivom dohotku poljoprivrednih gospodarstava i otpornosti poljoprivrednog</w:t>
      </w:r>
    </w:p>
    <w:p w14:paraId="4DFB53D3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sektora u cijeloj Uniji kako bi se poboljšala dugoročna sigurnost opskrbe hranom i</w:t>
      </w:r>
    </w:p>
    <w:p w14:paraId="3DCBA171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poljoprivredna raznolikost te osigurala gospodarska održivost poljoprivredne proizvodnje</w:t>
      </w:r>
    </w:p>
    <w:p w14:paraId="47FD3315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u Uniji;</w:t>
      </w:r>
    </w:p>
    <w:p w14:paraId="579D8DF6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2. jačanje usmjerenosti na tržište i povećanje konkurentnosti poljoprivrednih gospodarstava</w:t>
      </w:r>
    </w:p>
    <w:p w14:paraId="525BEE55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kratkoročno i dugoročno, uključujući veću usmjerenost na istraživanja, tehnologiju i</w:t>
      </w:r>
    </w:p>
    <w:p w14:paraId="2BD31629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digitalizaciju;</w:t>
      </w:r>
    </w:p>
    <w:p w14:paraId="5C05F038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3. poboljšanje položaja poljoprivrednika u vrijednosnom lancu;</w:t>
      </w:r>
    </w:p>
    <w:p w14:paraId="6ADD7F90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4. doprinos ublažavanju klimatskih promjena i prilagodbi tim promjenama, uključujući</w:t>
      </w:r>
    </w:p>
    <w:p w14:paraId="4E73B4BE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smanjenjem emisija stakleničkih plinova i poboljšanjem sekvestracije ugljika, te</w:t>
      </w:r>
    </w:p>
    <w:p w14:paraId="47E9B98F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promicanje održive energije;</w:t>
      </w:r>
    </w:p>
    <w:p w14:paraId="47DF8923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5. poticanje održivog razvoja i djelotvornog upravljanja prirodnim resursima, kao što su</w:t>
      </w:r>
    </w:p>
    <w:p w14:paraId="659CD10A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voda, tlo i zrak, uključujući smanjenjem ovisnosti o kemikalijama;</w:t>
      </w:r>
    </w:p>
    <w:p w14:paraId="4C0C57DB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6. doprinos zaustavljanju procesa gubitka bioraznolikosti i pokretanju procesa oporavka</w:t>
      </w:r>
    </w:p>
    <w:p w14:paraId="109343A1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bioraznolikosti, poboljšanje usluga ekosustava te očuvanje staništa i krajobraza;</w:t>
      </w:r>
    </w:p>
    <w:p w14:paraId="7C962D82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7. privlačenje i podupiranje mladih poljoprivrednika i novih poljoprivrednika te olakšavanje</w:t>
      </w:r>
    </w:p>
    <w:p w14:paraId="285CD302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održivog poslovnog razvoja u ruralnim područjima;</w:t>
      </w:r>
    </w:p>
    <w:p w14:paraId="0C17B418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8. promicanje zapošljavanja, rasta, rodne ravnopravnosti, uključujući sudjelovanje žena u</w:t>
      </w:r>
    </w:p>
    <w:p w14:paraId="0464B153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poljoprivredi, socijalne uključenosti i lokalnog razvoja u ruralnim područjima,</w:t>
      </w:r>
    </w:p>
    <w:p w14:paraId="25F35DE6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lastRenderedPageBreak/>
        <w:t xml:space="preserve">uključujući kružno </w:t>
      </w:r>
      <w:proofErr w:type="spellStart"/>
      <w:r w:rsidRPr="004A6A8B">
        <w:rPr>
          <w:rFonts w:ascii="Times New Roman" w:hAnsi="Times New Roman" w:cs="Times New Roman"/>
          <w:sz w:val="24"/>
          <w:szCs w:val="24"/>
        </w:rPr>
        <w:t>biogospodarstvo</w:t>
      </w:r>
      <w:proofErr w:type="spellEnd"/>
      <w:r w:rsidRPr="004A6A8B">
        <w:rPr>
          <w:rFonts w:ascii="Times New Roman" w:hAnsi="Times New Roman" w:cs="Times New Roman"/>
          <w:sz w:val="24"/>
          <w:szCs w:val="24"/>
        </w:rPr>
        <w:t xml:space="preserve"> i održivo šumarstvo;</w:t>
      </w:r>
    </w:p>
    <w:p w14:paraId="0466027F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9. poboljšanje odgovora poljoprivrede Unije na društvene zahtjeve u pogledu hrane i</w:t>
      </w:r>
    </w:p>
    <w:p w14:paraId="587A6F9E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zdravlja, uključujući visokokvalitetnu, sigurnu i hranjivu hranu proizvedenu na održiv</w:t>
      </w:r>
    </w:p>
    <w:p w14:paraId="6C18E40D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način;</w:t>
      </w:r>
    </w:p>
    <w:p w14:paraId="11F1B6E5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10. međusektorski (horizontalni): modernizacija poljoprivrede i ruralnih područja poticanjem</w:t>
      </w:r>
    </w:p>
    <w:p w14:paraId="01021F86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i razmjenom znanja, inovacija i digitalizacije u poljoprivredi i ruralnim područjima te</w:t>
      </w:r>
    </w:p>
    <w:p w14:paraId="49801139" w14:textId="77777777" w:rsidR="004A6A8B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promicanjem njihove upotrebe među poljoprivrednicima putem poboljšanog pristupa</w:t>
      </w:r>
    </w:p>
    <w:p w14:paraId="2FA3446D" w14:textId="5121A4BA" w:rsidR="006A33B1" w:rsidRPr="004A6A8B" w:rsidRDefault="004A6A8B" w:rsidP="004A6A8B">
      <w:pPr>
        <w:rPr>
          <w:rFonts w:ascii="Times New Roman" w:hAnsi="Times New Roman" w:cs="Times New Roman"/>
          <w:sz w:val="24"/>
          <w:szCs w:val="24"/>
        </w:rPr>
      </w:pPr>
      <w:r w:rsidRPr="004A6A8B">
        <w:rPr>
          <w:rFonts w:ascii="Times New Roman" w:hAnsi="Times New Roman" w:cs="Times New Roman"/>
          <w:sz w:val="24"/>
          <w:szCs w:val="24"/>
        </w:rPr>
        <w:t>istraživanjima, inovacijama, razmjeni znanja i osposobljavanju</w:t>
      </w:r>
    </w:p>
    <w:sectPr w:rsidR="006A33B1" w:rsidRPr="004A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8B"/>
    <w:rsid w:val="00307EFD"/>
    <w:rsid w:val="004A6A8B"/>
    <w:rsid w:val="006A33B1"/>
    <w:rsid w:val="00957C7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BD3D"/>
  <w15:chartTrackingRefBased/>
  <w15:docId w15:val="{8FB2653F-FA2B-4677-BB16-D8C0AEA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A6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6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6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6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6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6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6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6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6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6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6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6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6A8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6A8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6A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6A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6A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6A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6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6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6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6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6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6A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6A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6A8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6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6A8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6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Matek</dc:creator>
  <cp:keywords/>
  <dc:description/>
  <cp:lastModifiedBy>Igor Matek</cp:lastModifiedBy>
  <cp:revision>1</cp:revision>
  <dcterms:created xsi:type="dcterms:W3CDTF">2025-01-03T09:56:00Z</dcterms:created>
  <dcterms:modified xsi:type="dcterms:W3CDTF">2025-01-03T09:58:00Z</dcterms:modified>
</cp:coreProperties>
</file>