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DDF2" w14:textId="77777777" w:rsidR="00E261CB" w:rsidRPr="00FF0976" w:rsidRDefault="00E261CB" w:rsidP="00E261CB">
      <w:pPr>
        <w:spacing w:before="100" w:beforeAutospacing="1" w:after="225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bookmarkStart w:id="0" w:name="_GoBack"/>
      <w:bookmarkEnd w:id="0"/>
      <w:r w:rsidRPr="00FF0976">
        <w:rPr>
          <w:rFonts w:asciiTheme="minorHAnsi" w:eastAsia="Times New Roman" w:hAnsiTheme="minorHAnsi" w:cs="Helvetica"/>
          <w:b/>
          <w:bCs/>
          <w:color w:val="000000"/>
          <w:lang w:val="hr-HR" w:eastAsia="hr-HR"/>
        </w:rPr>
        <w:t>PRILOG II.</w:t>
      </w:r>
    </w:p>
    <w:p w14:paraId="6B0337D8" w14:textId="77777777" w:rsidR="00E261CB" w:rsidRPr="00FF0976" w:rsidRDefault="00E261CB" w:rsidP="00E261CB">
      <w:pPr>
        <w:spacing w:before="100" w:beforeAutospacing="1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POPIS POLJOPRIVREDNIH PROIZVODA OBUHVAĆEN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92"/>
      </w:tblGrid>
      <w:tr w:rsidR="00E261CB" w:rsidRPr="00FF0976" w14:paraId="41FBE68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25C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 xml:space="preserve">Broj u briselskoj nomenklaturi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CC7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>Opis proizvoda</w:t>
            </w:r>
          </w:p>
        </w:tc>
      </w:tr>
      <w:tr w:rsidR="00E261CB" w:rsidRPr="00FF0976" w14:paraId="1B7850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714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CA0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Žive životinje</w:t>
            </w:r>
          </w:p>
        </w:tc>
      </w:tr>
      <w:tr w:rsidR="00E261CB" w:rsidRPr="00FF0976" w14:paraId="36BC27B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C079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CFB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Meso i jestivi klaonički proizvodi</w:t>
            </w:r>
          </w:p>
        </w:tc>
      </w:tr>
      <w:tr w:rsidR="00E261CB" w:rsidRPr="00FF0976" w14:paraId="65AFF02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D615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9B2A3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Ribe i rakovi, mekušci</w:t>
            </w:r>
          </w:p>
        </w:tc>
      </w:tr>
      <w:tr w:rsidR="00E261CB" w:rsidRPr="00FF0976" w14:paraId="08D883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9BDB8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41DD6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Mlijeko i drugi mliječni proizvodi; jaja peradi i ptičja jaja; prirodni med</w:t>
            </w:r>
          </w:p>
        </w:tc>
      </w:tr>
      <w:tr w:rsidR="00E261CB" w:rsidRPr="00FF0976" w14:paraId="09A1239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7BF5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B49AB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8328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5D7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10FFC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Crijeva, mjehuri i želuci od životinja (osim od riba), cijeli i njihovi komadi</w:t>
            </w:r>
          </w:p>
        </w:tc>
      </w:tr>
      <w:tr w:rsidR="00E261CB" w:rsidRPr="00FF0976" w14:paraId="57C050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93A7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B5CE8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E261CB" w:rsidRPr="00FF0976" w14:paraId="5A256F4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FDCD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57AA1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Živo drveće i druge biljke; lukovice, korijenje i slično; rezano cvijeće i ukrasno lišće</w:t>
            </w:r>
          </w:p>
        </w:tc>
      </w:tr>
      <w:tr w:rsidR="00E261CB" w:rsidRPr="00FF0976" w14:paraId="4989995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2BBE3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2DAE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povrće, neko korijenje i gomolji</w:t>
            </w:r>
          </w:p>
        </w:tc>
      </w:tr>
      <w:tr w:rsidR="00E261CB" w:rsidRPr="00FF0976" w14:paraId="6600D34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D51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C5880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voće i orašasti plodovi; kore agruma, dinja i lubenica</w:t>
            </w:r>
          </w:p>
        </w:tc>
      </w:tr>
      <w:tr w:rsidR="00E261CB" w:rsidRPr="00FF0976" w14:paraId="1F051B3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731D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003B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Kava, čaj, začini, isključujući mate čaj (tarifni br 09.03)</w:t>
            </w:r>
          </w:p>
        </w:tc>
      </w:tr>
      <w:tr w:rsidR="00E261CB" w:rsidRPr="00FF0976" w14:paraId="1C3FE1D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22B4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7421C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Žitarice</w:t>
            </w:r>
          </w:p>
        </w:tc>
      </w:tr>
      <w:tr w:rsidR="00E261CB" w:rsidRPr="00FF0976" w14:paraId="21A7BDE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C7270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312D6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mlinske industrije; slad; škrob; inulin; gluten</w:t>
            </w:r>
          </w:p>
        </w:tc>
      </w:tr>
      <w:tr w:rsidR="00E261CB" w:rsidRPr="00FF0976" w14:paraId="0A9C91B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D3FE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 xml:space="preserve">Poglavlje 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A4E5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Uljano sjemenje i plodovi; razno zrnje, sjemenje i plodovi; industrijsko i ljekovito bilje; slama i stočna hrana</w:t>
            </w:r>
          </w:p>
        </w:tc>
      </w:tr>
      <w:tr w:rsidR="00E261CB" w:rsidRPr="00FF0976" w14:paraId="763A79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8EC3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8149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317A5A3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5B1B7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38BB6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Pektin</w:t>
            </w:r>
          </w:p>
        </w:tc>
      </w:tr>
      <w:tr w:rsidR="00E261CB" w:rsidRPr="00FF0976" w14:paraId="15F3D0B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E3331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2AD32A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C7A2CA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BE4B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2E6B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Prerađena svinjska mast (uključujući salo) i mast peradi</w:t>
            </w:r>
          </w:p>
        </w:tc>
      </w:tr>
      <w:tr w:rsidR="00E261CB" w:rsidRPr="00FF0976" w14:paraId="2A7CB02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026F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478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Neprerađene masti od goveda, ovaca ili koza, te loj proizveden iz ovih masti</w:t>
            </w:r>
          </w:p>
        </w:tc>
      </w:tr>
      <w:tr w:rsidR="00E261CB" w:rsidRPr="00FF0976" w14:paraId="460731BA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7DED9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102FD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Stearin od svinjske masti, ulje od svinjske masti, oleostearin, oleo ulje i ulje od loja, neemulgirani, nemiješani niti na drugi način pripremljeni</w:t>
            </w:r>
          </w:p>
        </w:tc>
      </w:tr>
      <w:tr w:rsidR="00E261CB" w:rsidRPr="00FF0976" w14:paraId="0B0812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B8D6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B8FC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riba i morskih sisavaca, rafinirani ili nerafinirani</w:t>
            </w:r>
          </w:p>
        </w:tc>
      </w:tr>
      <w:tr w:rsidR="00E261CB" w:rsidRPr="00FF0976" w14:paraId="0940CE8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AD068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F86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Stabilna biljna ulja, tekuća ili kruta, sirova, rafinirana ili pročišćena </w:t>
            </w:r>
          </w:p>
        </w:tc>
      </w:tr>
      <w:tr w:rsidR="00E261CB" w:rsidRPr="00FF0976" w14:paraId="36F35FA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F46D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E6CD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životinjskog ili biljnog podrijetla, hidrogenirani, rafinirani ili nerafinirani, ali dalje nepripremljeni</w:t>
            </w:r>
          </w:p>
        </w:tc>
      </w:tr>
      <w:tr w:rsidR="00E261CB" w:rsidRPr="00FF0976" w14:paraId="5C38460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996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26C7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Margarin, imitacija sala i druge jestive masti</w:t>
            </w:r>
          </w:p>
        </w:tc>
      </w:tr>
      <w:tr w:rsidR="00E261CB" w:rsidRPr="00FF0976" w14:paraId="0EA539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3863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08F4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dobiveni pri preradi masnih tvari ili voskova životinjskog ili biljnog podrijetla</w:t>
            </w:r>
          </w:p>
        </w:tc>
      </w:tr>
      <w:tr w:rsidR="00E261CB" w:rsidRPr="00FF0976" w14:paraId="445528C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FA83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357EF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Prerađevine od mesa, riba, rakova, mekušaca</w:t>
            </w:r>
          </w:p>
        </w:tc>
      </w:tr>
      <w:tr w:rsidR="00E261CB" w:rsidRPr="00FF0976" w14:paraId="5CF985F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AC3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5361B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5F63421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564F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F4AD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Šećer od šećerne repe i šećerne trske, krut</w:t>
            </w:r>
          </w:p>
        </w:tc>
      </w:tr>
      <w:tr w:rsidR="00E261CB" w:rsidRPr="00FF0976" w14:paraId="0FE9083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AA7A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3ED7C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Ostali šećeri; šećerni sirupi; umjetni med (miješan ili ne s prirodnim medom); karamel</w:t>
            </w:r>
          </w:p>
        </w:tc>
      </w:tr>
      <w:tr w:rsidR="00E261CB" w:rsidRPr="00FF0976" w14:paraId="6C5DEF9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EE24A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0738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Melase, obezbojena ili ne </w:t>
            </w:r>
          </w:p>
        </w:tc>
      </w:tr>
      <w:tr w:rsidR="00E261CB" w:rsidRPr="00FF0976" w14:paraId="3C12C0F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E62D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339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Aromatizirani ili obojeni šećeri, sirupi i melasa (uključujući vanilijin šećer ili vanilin), uz iznimku voćnog soka s dodanim šećerom u bilo kojem omjeru</w:t>
            </w:r>
          </w:p>
        </w:tc>
      </w:tr>
      <w:tr w:rsidR="00E261CB" w:rsidRPr="00FF0976" w14:paraId="5F8208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081E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3E55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43AFB4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B3F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1D75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Kakao u zrnu, cijeli ili lomljeni, sirovi ili prženi</w:t>
            </w:r>
          </w:p>
        </w:tc>
      </w:tr>
      <w:tr w:rsidR="00E261CB" w:rsidRPr="00FF0976" w14:paraId="71123B7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6930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0280C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Ljuske, kore, opne i otpaci od kakaa</w:t>
            </w:r>
          </w:p>
        </w:tc>
      </w:tr>
      <w:tr w:rsidR="00E261CB" w:rsidRPr="00FF0976" w14:paraId="0AD8A6B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0057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F94B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od povrća, voća ili ostalih dijelova biljaka</w:t>
            </w:r>
          </w:p>
        </w:tc>
      </w:tr>
      <w:tr w:rsidR="00E261CB" w:rsidRPr="00FF0976" w14:paraId="56E421B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81895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E7890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1481CF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EEA84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964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Mošt od grožđa, u fermentaciji, ili sa zaustavljenim vrenjem bez dodavanja alkohola</w:t>
            </w:r>
          </w:p>
        </w:tc>
      </w:tr>
      <w:tr w:rsidR="00E261CB" w:rsidRPr="00FF0976" w14:paraId="212E8AE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C9D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C78A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Vino od svježeg grožđa; mošt od grožđa čija je fermentacija zaustavljena dodatkom alkohola</w:t>
            </w:r>
          </w:p>
        </w:tc>
      </w:tr>
      <w:tr w:rsidR="00E261CB" w:rsidRPr="00FF0976" w14:paraId="0945D69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934B6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BFC0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Ostala fermentirana pića (npr. jabukovača, kruškovača, medovina)</w:t>
            </w:r>
          </w:p>
        </w:tc>
      </w:tr>
      <w:tr w:rsidR="00E261CB" w:rsidRPr="00FF0976" w14:paraId="632B8AA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518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22.08(*)</w:t>
            </w:r>
          </w:p>
          <w:p w14:paraId="10C1E8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F2657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E261CB" w:rsidRPr="00FF0976" w14:paraId="6F82890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21AD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22.10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C16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Ocat i nadomjesci octa</w:t>
            </w:r>
          </w:p>
        </w:tc>
      </w:tr>
      <w:tr w:rsidR="00E261CB" w:rsidRPr="00FF0976" w14:paraId="2731EE7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CF25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547D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i otpaci od prehrambene industrije; pripremljena životinjska hrana</w:t>
            </w:r>
          </w:p>
        </w:tc>
      </w:tr>
      <w:tr w:rsidR="00E261CB" w:rsidRPr="00FF0976" w14:paraId="05FAE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96A35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47B4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E7E00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33EA9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BC612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Neprerađeni duhan, duhanski otpaci</w:t>
            </w:r>
          </w:p>
        </w:tc>
      </w:tr>
      <w:tr w:rsidR="00E261CB" w:rsidRPr="00FF0976" w14:paraId="4975CE1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A0B4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DEF551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D7EE08C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6FFB8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16C9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Pluto prirodno, neobrađeno, drobljeno, granulirano ili mljeveno; otpaci od pluta</w:t>
            </w:r>
          </w:p>
        </w:tc>
      </w:tr>
      <w:tr w:rsidR="00E261CB" w:rsidRPr="00FF0976" w14:paraId="5B257992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94DF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03D1E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E8D46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B5AF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7DD3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Lan, sirov ili prerađen, ali nepreden; lanena kučina i otpaci (uključujući otpadnu pređu i rastrgane tekstilne materijale)</w:t>
            </w:r>
          </w:p>
        </w:tc>
      </w:tr>
      <w:tr w:rsidR="00E261CB" w:rsidRPr="00FF0976" w14:paraId="274172D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A91C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7602D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BFD625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E084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FFC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Prava konoplja (</w:t>
            </w:r>
            <w:r w:rsidRPr="00FF0976">
              <w:rPr>
                <w:rFonts w:asciiTheme="minorHAnsi" w:eastAsia="Times New Roman" w:hAnsiTheme="minorHAnsi"/>
                <w:b/>
                <w:i/>
                <w:iCs/>
                <w:color w:val="666666"/>
                <w:lang w:val="hr-HR" w:eastAsia="hr-HR"/>
              </w:rPr>
              <w:t>Cannabis sativa l.</w:t>
            </w: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), sirova ili prerađena, ali nepredena; kučina i otpaci od konoplje (uključujući otpadnu pređu i rastrgane tekstilne materijale)</w:t>
            </w:r>
          </w:p>
        </w:tc>
      </w:tr>
    </w:tbl>
    <w:p w14:paraId="4B8702B0" w14:textId="77777777" w:rsidR="00E261CB" w:rsidRPr="00FF0976" w:rsidRDefault="00E261CB" w:rsidP="00E261CB">
      <w:pPr>
        <w:spacing w:before="100" w:beforeAutospacing="1" w:after="225" w:line="336" w:lineRule="atLeast"/>
        <w:jc w:val="both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(*) Dodano člankom 1. Uredbe br. 7a Vijeća Europske ekonomske zajednice od 18. prosinca 1959. (Službeni list br. 7., 30. 1. 1961., str. 71/612)</w:t>
      </w:r>
    </w:p>
    <w:p w14:paraId="4E1FD01D" w14:textId="77777777" w:rsidR="00674F3F" w:rsidRPr="00FF0976" w:rsidRDefault="00674F3F" w:rsidP="00E261CB">
      <w:pPr>
        <w:rPr>
          <w:rFonts w:asciiTheme="minorHAnsi" w:hAnsiTheme="minorHAnsi"/>
          <w:b/>
          <w:lang w:val="hr-HR"/>
        </w:rPr>
      </w:pPr>
    </w:p>
    <w:sectPr w:rsidR="00674F3F" w:rsidRPr="00FF0976" w:rsidSect="00B255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B23A" w14:textId="77777777" w:rsidR="00366B54" w:rsidRDefault="00366B54" w:rsidP="004348F8">
      <w:pPr>
        <w:spacing w:after="0" w:line="240" w:lineRule="auto"/>
      </w:pPr>
      <w:r>
        <w:separator/>
      </w:r>
    </w:p>
  </w:endnote>
  <w:endnote w:type="continuationSeparator" w:id="0">
    <w:p w14:paraId="06DA2BC8" w14:textId="77777777" w:rsidR="00366B54" w:rsidRDefault="00366B54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66483" w14:textId="77777777" w:rsidR="00366B54" w:rsidRDefault="00366B54" w:rsidP="004348F8">
      <w:pPr>
        <w:spacing w:after="0" w:line="240" w:lineRule="auto"/>
      </w:pPr>
      <w:r>
        <w:separator/>
      </w:r>
    </w:p>
  </w:footnote>
  <w:footnote w:type="continuationSeparator" w:id="0">
    <w:p w14:paraId="01325935" w14:textId="77777777" w:rsidR="00366B54" w:rsidRDefault="00366B54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5C0"/>
    <w:rsid w:val="00024101"/>
    <w:rsid w:val="00040FBE"/>
    <w:rsid w:val="00060F13"/>
    <w:rsid w:val="00064060"/>
    <w:rsid w:val="00071CCF"/>
    <w:rsid w:val="000A231C"/>
    <w:rsid w:val="000A7902"/>
    <w:rsid w:val="000B5273"/>
    <w:rsid w:val="000C0882"/>
    <w:rsid w:val="000C3DD5"/>
    <w:rsid w:val="000C5A21"/>
    <w:rsid w:val="000D0B7A"/>
    <w:rsid w:val="000D5369"/>
    <w:rsid w:val="000F7EAE"/>
    <w:rsid w:val="00117EFB"/>
    <w:rsid w:val="0012650E"/>
    <w:rsid w:val="00140895"/>
    <w:rsid w:val="00150BBB"/>
    <w:rsid w:val="00156C0B"/>
    <w:rsid w:val="00161555"/>
    <w:rsid w:val="001F2DD9"/>
    <w:rsid w:val="00221EA3"/>
    <w:rsid w:val="002321BC"/>
    <w:rsid w:val="00232B2C"/>
    <w:rsid w:val="002421F2"/>
    <w:rsid w:val="00244A89"/>
    <w:rsid w:val="00261A8F"/>
    <w:rsid w:val="00270AEF"/>
    <w:rsid w:val="00293B93"/>
    <w:rsid w:val="002940BD"/>
    <w:rsid w:val="00294D8C"/>
    <w:rsid w:val="002A7461"/>
    <w:rsid w:val="002B768C"/>
    <w:rsid w:val="002C0D84"/>
    <w:rsid w:val="00305FB2"/>
    <w:rsid w:val="00310885"/>
    <w:rsid w:val="0031298D"/>
    <w:rsid w:val="003146BE"/>
    <w:rsid w:val="00320D77"/>
    <w:rsid w:val="00321EA7"/>
    <w:rsid w:val="00324184"/>
    <w:rsid w:val="0034256C"/>
    <w:rsid w:val="003574C2"/>
    <w:rsid w:val="00366B54"/>
    <w:rsid w:val="0038739C"/>
    <w:rsid w:val="003A12BB"/>
    <w:rsid w:val="003A3466"/>
    <w:rsid w:val="003B1F2A"/>
    <w:rsid w:val="003C4E54"/>
    <w:rsid w:val="003C708E"/>
    <w:rsid w:val="003D5DA4"/>
    <w:rsid w:val="003F3BE7"/>
    <w:rsid w:val="003F6AB7"/>
    <w:rsid w:val="00423DAC"/>
    <w:rsid w:val="00431444"/>
    <w:rsid w:val="004348F8"/>
    <w:rsid w:val="00437BAA"/>
    <w:rsid w:val="00445761"/>
    <w:rsid w:val="00454658"/>
    <w:rsid w:val="00467B1B"/>
    <w:rsid w:val="004800E0"/>
    <w:rsid w:val="004A081C"/>
    <w:rsid w:val="004A1CFC"/>
    <w:rsid w:val="004B623C"/>
    <w:rsid w:val="004C3B04"/>
    <w:rsid w:val="004C59A5"/>
    <w:rsid w:val="004D01A2"/>
    <w:rsid w:val="004D5CDE"/>
    <w:rsid w:val="004E2E55"/>
    <w:rsid w:val="004E7AF2"/>
    <w:rsid w:val="005011BD"/>
    <w:rsid w:val="0050353E"/>
    <w:rsid w:val="00503C3A"/>
    <w:rsid w:val="00504995"/>
    <w:rsid w:val="0052071C"/>
    <w:rsid w:val="00527A6C"/>
    <w:rsid w:val="00535448"/>
    <w:rsid w:val="00535649"/>
    <w:rsid w:val="00541A6B"/>
    <w:rsid w:val="005A4EEB"/>
    <w:rsid w:val="005B343A"/>
    <w:rsid w:val="005C6851"/>
    <w:rsid w:val="005D4BE4"/>
    <w:rsid w:val="005E0A97"/>
    <w:rsid w:val="005E66CE"/>
    <w:rsid w:val="005F5044"/>
    <w:rsid w:val="006102A0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51FB"/>
    <w:rsid w:val="0072331E"/>
    <w:rsid w:val="00723842"/>
    <w:rsid w:val="00735500"/>
    <w:rsid w:val="0073656B"/>
    <w:rsid w:val="00745128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E49C1"/>
    <w:rsid w:val="007E7EDF"/>
    <w:rsid w:val="008118F3"/>
    <w:rsid w:val="00811DCC"/>
    <w:rsid w:val="00850E51"/>
    <w:rsid w:val="00851855"/>
    <w:rsid w:val="008675FB"/>
    <w:rsid w:val="008677A0"/>
    <w:rsid w:val="00875706"/>
    <w:rsid w:val="008A4B0D"/>
    <w:rsid w:val="008A7F57"/>
    <w:rsid w:val="008B505C"/>
    <w:rsid w:val="008B5433"/>
    <w:rsid w:val="008D0681"/>
    <w:rsid w:val="008D1D08"/>
    <w:rsid w:val="008E0879"/>
    <w:rsid w:val="008E5B9E"/>
    <w:rsid w:val="008E79CA"/>
    <w:rsid w:val="00903E7B"/>
    <w:rsid w:val="00910FA7"/>
    <w:rsid w:val="009117E2"/>
    <w:rsid w:val="00911DEF"/>
    <w:rsid w:val="00922FD0"/>
    <w:rsid w:val="0094693A"/>
    <w:rsid w:val="009635D4"/>
    <w:rsid w:val="0098313E"/>
    <w:rsid w:val="00994CE8"/>
    <w:rsid w:val="009B056E"/>
    <w:rsid w:val="009B6AEA"/>
    <w:rsid w:val="009B6DC0"/>
    <w:rsid w:val="009B72A6"/>
    <w:rsid w:val="009C072C"/>
    <w:rsid w:val="009C5FED"/>
    <w:rsid w:val="009E6605"/>
    <w:rsid w:val="009F462E"/>
    <w:rsid w:val="00A048BA"/>
    <w:rsid w:val="00A224FA"/>
    <w:rsid w:val="00A22AD3"/>
    <w:rsid w:val="00A360A1"/>
    <w:rsid w:val="00A61163"/>
    <w:rsid w:val="00A64825"/>
    <w:rsid w:val="00A70125"/>
    <w:rsid w:val="00A97678"/>
    <w:rsid w:val="00AA2471"/>
    <w:rsid w:val="00AB0AAD"/>
    <w:rsid w:val="00AB4ECB"/>
    <w:rsid w:val="00AC1DA4"/>
    <w:rsid w:val="00B0475D"/>
    <w:rsid w:val="00B2554D"/>
    <w:rsid w:val="00B26E12"/>
    <w:rsid w:val="00B30566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C6230"/>
    <w:rsid w:val="00BE045D"/>
    <w:rsid w:val="00BE522A"/>
    <w:rsid w:val="00C24141"/>
    <w:rsid w:val="00C35EDC"/>
    <w:rsid w:val="00C360BA"/>
    <w:rsid w:val="00C367FE"/>
    <w:rsid w:val="00C44351"/>
    <w:rsid w:val="00C45B91"/>
    <w:rsid w:val="00C513EA"/>
    <w:rsid w:val="00C5419B"/>
    <w:rsid w:val="00C622AF"/>
    <w:rsid w:val="00C7162A"/>
    <w:rsid w:val="00C84FD4"/>
    <w:rsid w:val="00CC1F54"/>
    <w:rsid w:val="00CC3CA6"/>
    <w:rsid w:val="00CE6E57"/>
    <w:rsid w:val="00CF1E34"/>
    <w:rsid w:val="00D04B9A"/>
    <w:rsid w:val="00D068B2"/>
    <w:rsid w:val="00D20EB8"/>
    <w:rsid w:val="00D413F0"/>
    <w:rsid w:val="00D42B1E"/>
    <w:rsid w:val="00D435CA"/>
    <w:rsid w:val="00D5116A"/>
    <w:rsid w:val="00D7382D"/>
    <w:rsid w:val="00D77B36"/>
    <w:rsid w:val="00D82688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235A2"/>
    <w:rsid w:val="00E261CB"/>
    <w:rsid w:val="00E343DD"/>
    <w:rsid w:val="00E356E6"/>
    <w:rsid w:val="00E446F2"/>
    <w:rsid w:val="00E47B1B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F0976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B9AE7E88-3F54-4EE5-9A64-48530F9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4F8A-BBA1-44F1-AF31-1223739A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Igor Matek</cp:lastModifiedBy>
  <cp:revision>2</cp:revision>
  <cp:lastPrinted>2017-11-13T12:43:00Z</cp:lastPrinted>
  <dcterms:created xsi:type="dcterms:W3CDTF">2021-11-29T13:14:00Z</dcterms:created>
  <dcterms:modified xsi:type="dcterms:W3CDTF">2021-11-29T13:14:00Z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